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20477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b/>
          <w:bCs/>
          <w:noProof/>
          <w:spacing w:val="20"/>
          <w:sz w:val="24"/>
          <w:szCs w:val="24"/>
          <w:u w:val="single"/>
        </w:rPr>
        <w:t>ELŐTERJESZTÉS</w:t>
      </w:r>
    </w:p>
    <w:p w14:paraId="57523FC4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</w:pPr>
    </w:p>
    <w:p w14:paraId="096529D5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028BE0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41BCCC65" w14:textId="4BB8AC7B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2025. </w:t>
      </w:r>
      <w:r w:rsidR="008C5D71" w:rsidRPr="00C5031E">
        <w:rPr>
          <w:rFonts w:ascii="Times New Roman" w:hAnsi="Times New Roman" w:cs="Times New Roman"/>
          <w:sz w:val="24"/>
          <w:szCs w:val="24"/>
        </w:rPr>
        <w:t>szeptember 25</w:t>
      </w:r>
      <w:r w:rsidRPr="00C5031E">
        <w:rPr>
          <w:rFonts w:ascii="Times New Roman" w:hAnsi="Times New Roman" w:cs="Times New Roman"/>
          <w:sz w:val="24"/>
          <w:szCs w:val="24"/>
        </w:rPr>
        <w:t>-én tartandó rendes testületi ülésére</w:t>
      </w:r>
    </w:p>
    <w:p w14:paraId="02FA0521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A36C93" w14:textId="5C92243F" w:rsidR="00AD11D4" w:rsidRPr="00C5031E" w:rsidRDefault="00AD11D4" w:rsidP="00AD11D4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C5031E">
        <w:rPr>
          <w:rFonts w:ascii="Times New Roman" w:hAnsi="Times New Roman" w:cs="Times New Roman"/>
          <w:sz w:val="24"/>
          <w:szCs w:val="24"/>
        </w:rPr>
        <w:t xml:space="preserve"> </w:t>
      </w:r>
      <w:r w:rsidR="008C5D71" w:rsidRPr="00C5031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lejárt </w:t>
      </w:r>
      <w:proofErr w:type="spellStart"/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</w:t>
      </w:r>
    </w:p>
    <w:p w14:paraId="348915FA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A1CE8BF" w14:textId="4AEB205B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C5031E">
        <w:rPr>
          <w:rFonts w:ascii="Times New Roman" w:hAnsi="Times New Roman" w:cs="Times New Roman"/>
          <w:sz w:val="24"/>
          <w:szCs w:val="24"/>
        </w:rPr>
        <w:t xml:space="preserve"> -</w:t>
      </w:r>
      <w:r w:rsidR="00A459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9A176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3D693" w14:textId="3DA7CD9C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Iktatószám: TPH/ </w:t>
      </w:r>
      <w:r w:rsidR="008012F8" w:rsidRPr="00C5031E">
        <w:rPr>
          <w:rFonts w:ascii="Times New Roman" w:hAnsi="Times New Roman" w:cs="Times New Roman"/>
          <w:sz w:val="24"/>
          <w:szCs w:val="24"/>
        </w:rPr>
        <w:t>9187-</w:t>
      </w:r>
      <w:r w:rsidR="008C5D71" w:rsidRPr="00C5031E">
        <w:rPr>
          <w:rFonts w:ascii="Times New Roman" w:hAnsi="Times New Roman" w:cs="Times New Roman"/>
          <w:sz w:val="24"/>
          <w:szCs w:val="24"/>
        </w:rPr>
        <w:t>2</w:t>
      </w:r>
      <w:r w:rsidR="008012F8" w:rsidRPr="00C5031E">
        <w:rPr>
          <w:rFonts w:ascii="Times New Roman" w:hAnsi="Times New Roman" w:cs="Times New Roman"/>
          <w:sz w:val="24"/>
          <w:szCs w:val="24"/>
        </w:rPr>
        <w:t>/2025</w:t>
      </w:r>
    </w:p>
    <w:p w14:paraId="375BB3C6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0C7BD6" w14:textId="77777777" w:rsidR="00AD11D4" w:rsidRPr="00C5031E" w:rsidRDefault="00AD11D4" w:rsidP="00AD11D4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 napirend előterjesztője:</w:t>
      </w:r>
      <w:r w:rsidRPr="00C5031E">
        <w:rPr>
          <w:rFonts w:ascii="Times New Roman" w:hAnsi="Times New Roman" w:cs="Times New Roman"/>
          <w:sz w:val="24"/>
          <w:szCs w:val="24"/>
        </w:rPr>
        <w:t xml:space="preserve"> Balázsi Csilla polgármester</w:t>
      </w:r>
    </w:p>
    <w:p w14:paraId="7DF79076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E0943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előterjesztést készítette:</w:t>
      </w:r>
      <w:r w:rsidRPr="00C5031E">
        <w:rPr>
          <w:rFonts w:ascii="Times New Roman" w:hAnsi="Times New Roman" w:cs="Times New Roman"/>
          <w:sz w:val="24"/>
          <w:szCs w:val="24"/>
        </w:rPr>
        <w:t xml:space="preserve"> Szalontai Dóra köztisztviselő</w:t>
      </w:r>
    </w:p>
    <w:p w14:paraId="216615B3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45B3D01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14:paraId="1B404C6C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CC084C8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333E3B" w:rsidRPr="00C5031E" w14:paraId="7C154593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B350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E8EA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333E3B" w:rsidRPr="00C5031E" w14:paraId="0DFB5E4B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203F" w14:textId="77777777" w:rsidR="00AD11D4" w:rsidRPr="00C5031E" w:rsidRDefault="00AD11D4" w:rsidP="005E2528">
            <w:pPr>
              <w:pStyle w:val="Lista"/>
              <w:rPr>
                <w:rFonts w:ascii="Times New Roman" w:hAnsi="Times New Roman" w:cs="Times New Roman"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6DD" w14:textId="77777777" w:rsidR="00AD11D4" w:rsidRPr="00C5031E" w:rsidRDefault="00AD11D4" w:rsidP="005E2528">
            <w:pPr>
              <w:pStyle w:val="Lista"/>
              <w:rPr>
                <w:rFonts w:ascii="Times New Roman" w:hAnsi="Times New Roman" w:cs="Times New Roman"/>
                <w:sz w:val="24"/>
                <w:szCs w:val="24"/>
              </w:rPr>
            </w:pPr>
            <w:r w:rsidRPr="00C5031E">
              <w:rPr>
                <w:rFonts w:ascii="Times New Roman" w:hAnsi="Times New Roman" w:cs="Times New Roman"/>
                <w:sz w:val="24"/>
                <w:szCs w:val="24"/>
              </w:rPr>
              <w:t>SZMSZ 4. sz. melléklet 1.30. pontja</w:t>
            </w:r>
          </w:p>
        </w:tc>
      </w:tr>
    </w:tbl>
    <w:p w14:paraId="7F5D2D32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49BE215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p w14:paraId="5B3D107A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333E3B" w:rsidRPr="00C5031E" w14:paraId="6C66E29C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F1C9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8137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E3B" w:rsidRPr="00C5031E" w14:paraId="631CD24C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6D63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4C67" w14:textId="77777777" w:rsidR="00AD11D4" w:rsidRPr="00C5031E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BCA75E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DA15B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D40297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42F3A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14:paraId="5F448BC6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3249D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07446" w14:textId="77777777" w:rsidR="00AD11D4" w:rsidRPr="00C5031E" w:rsidRDefault="00AD11D4" w:rsidP="00AD11D4">
      <w:pPr>
        <w:spacing w:after="0" w:line="240" w:lineRule="auto"/>
        <w:ind w:left="7455" w:hanging="7455"/>
        <w:rPr>
          <w:rFonts w:ascii="Times New Roman" w:hAnsi="Times New Roman" w:cs="Times New Roman"/>
          <w:sz w:val="24"/>
          <w:szCs w:val="24"/>
        </w:rPr>
      </w:pPr>
    </w:p>
    <w:p w14:paraId="42C98815" w14:textId="224CF640" w:rsidR="00AD11D4" w:rsidRPr="00C5031E" w:rsidRDefault="00AD11D4" w:rsidP="00AD11D4">
      <w:pPr>
        <w:spacing w:after="0" w:line="240" w:lineRule="auto"/>
        <w:ind w:left="7455" w:hanging="7455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Tiszavasvári, 2025. </w:t>
      </w:r>
      <w:r w:rsidR="008C5D71" w:rsidRPr="00C5031E">
        <w:rPr>
          <w:rFonts w:ascii="Times New Roman" w:hAnsi="Times New Roman" w:cs="Times New Roman"/>
          <w:sz w:val="24"/>
          <w:szCs w:val="24"/>
        </w:rPr>
        <w:t>szeptember 19</w:t>
      </w:r>
      <w:r w:rsidRPr="00C5031E">
        <w:rPr>
          <w:rFonts w:ascii="Times New Roman" w:hAnsi="Times New Roman" w:cs="Times New Roman"/>
          <w:sz w:val="24"/>
          <w:szCs w:val="24"/>
        </w:rPr>
        <w:t>.</w:t>
      </w:r>
    </w:p>
    <w:p w14:paraId="487661A0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C025B" w14:textId="77777777" w:rsidR="00AD11D4" w:rsidRPr="00C5031E" w:rsidRDefault="00AD11D4" w:rsidP="00AD11D4">
      <w:pPr>
        <w:spacing w:after="0" w:line="240" w:lineRule="auto"/>
        <w:ind w:left="6747" w:hanging="987"/>
        <w:rPr>
          <w:rFonts w:ascii="Times New Roman" w:hAnsi="Times New Roman" w:cs="Times New Roman"/>
          <w:sz w:val="24"/>
          <w:szCs w:val="24"/>
        </w:rPr>
      </w:pPr>
    </w:p>
    <w:p w14:paraId="16431EA0" w14:textId="77777777" w:rsidR="00AD11D4" w:rsidRPr="00C5031E" w:rsidRDefault="00AD11D4" w:rsidP="00AD11D4">
      <w:pPr>
        <w:spacing w:after="0" w:line="240" w:lineRule="auto"/>
        <w:ind w:left="6747" w:hanging="987"/>
        <w:rPr>
          <w:rFonts w:ascii="Times New Roman" w:hAnsi="Times New Roman" w:cs="Times New Roman"/>
          <w:sz w:val="24"/>
          <w:szCs w:val="24"/>
        </w:rPr>
      </w:pPr>
    </w:p>
    <w:p w14:paraId="27FA9122" w14:textId="77777777" w:rsidR="00AD11D4" w:rsidRPr="00C5031E" w:rsidRDefault="00AD11D4" w:rsidP="00AD11D4">
      <w:pPr>
        <w:spacing w:after="0" w:line="240" w:lineRule="auto"/>
        <w:ind w:left="5052" w:firstLine="708"/>
        <w:rPr>
          <w:rFonts w:ascii="Times New Roman" w:hAnsi="Times New Roman" w:cs="Times New Roman"/>
          <w:b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     </w:t>
      </w:r>
      <w:r w:rsidRPr="00C5031E">
        <w:rPr>
          <w:rFonts w:ascii="Times New Roman" w:hAnsi="Times New Roman" w:cs="Times New Roman"/>
          <w:b/>
          <w:sz w:val="24"/>
          <w:szCs w:val="24"/>
        </w:rPr>
        <w:t>Szalontai Dóra</w:t>
      </w:r>
    </w:p>
    <w:p w14:paraId="529E7C63" w14:textId="77777777" w:rsidR="00AD11D4" w:rsidRPr="00C5031E" w:rsidRDefault="00AD11D4" w:rsidP="00AD11D4">
      <w:pPr>
        <w:spacing w:after="0" w:line="240" w:lineRule="auto"/>
        <w:ind w:left="5052" w:firstLine="708"/>
        <w:rPr>
          <w:rFonts w:ascii="Times New Roman" w:hAnsi="Times New Roman" w:cs="Times New Roman"/>
          <w:b/>
          <w:sz w:val="24"/>
          <w:szCs w:val="24"/>
        </w:rPr>
      </w:pPr>
      <w:r w:rsidRPr="00C5031E">
        <w:rPr>
          <w:rFonts w:ascii="Times New Roman" w:hAnsi="Times New Roman" w:cs="Times New Roman"/>
          <w:b/>
          <w:sz w:val="24"/>
          <w:szCs w:val="24"/>
        </w:rPr>
        <w:t xml:space="preserve">       témafelelős</w:t>
      </w:r>
    </w:p>
    <w:p w14:paraId="2516B88C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73B29518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250EA970" w14:textId="77777777" w:rsidR="00AD11D4" w:rsidRPr="00C5031E" w:rsidRDefault="00AD11D4" w:rsidP="00AD11D4">
      <w:p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3E8700EF" w14:textId="77777777" w:rsidR="00AD11D4" w:rsidRPr="00C5031E" w:rsidRDefault="00AD11D4" w:rsidP="00AD11D4">
      <w:p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5C3BA318" w14:textId="77777777" w:rsidR="00AD11D4" w:rsidRPr="00C5031E" w:rsidRDefault="00AD11D4" w:rsidP="00AD11D4">
      <w:pPr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76ECBA7D" w14:textId="77777777" w:rsidR="00AD11D4" w:rsidRPr="00A45943" w:rsidRDefault="00AD11D4" w:rsidP="00A45943">
      <w:pPr>
        <w:pageBreakBefore/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5943">
        <w:rPr>
          <w:rFonts w:ascii="Times New Roman" w:hAnsi="Times New Roman" w:cs="Times New Roman"/>
          <w:b/>
          <w:bCs/>
          <w:sz w:val="32"/>
          <w:szCs w:val="32"/>
        </w:rPr>
        <w:t>TISZAVASVÁRI VÁROS POLGÁRMESTERÉTŐL</w:t>
      </w:r>
    </w:p>
    <w:p w14:paraId="72BB4764" w14:textId="77777777" w:rsidR="00AD11D4" w:rsidRPr="00A45943" w:rsidRDefault="00AD11D4" w:rsidP="00AD11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943">
        <w:rPr>
          <w:rFonts w:ascii="Times New Roman" w:hAnsi="Times New Roman" w:cs="Times New Roman"/>
          <w:sz w:val="28"/>
          <w:szCs w:val="28"/>
        </w:rPr>
        <w:t>4440 Tiszavasvári, Városháza tér 4. sz.</w:t>
      </w:r>
    </w:p>
    <w:p w14:paraId="15AEBC72" w14:textId="77777777" w:rsidR="00AD11D4" w:rsidRPr="00A45943" w:rsidRDefault="00AD11D4" w:rsidP="00AD11D4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45943">
        <w:rPr>
          <w:rFonts w:ascii="Times New Roman" w:hAnsi="Times New Roman" w:cs="Times New Roman"/>
          <w:sz w:val="28"/>
          <w:szCs w:val="28"/>
        </w:rPr>
        <w:t xml:space="preserve">Tel.: 42/520-500       Fax.: 42/275-000      E-mail: </w:t>
      </w:r>
      <w:r w:rsidRPr="00A45943">
        <w:rPr>
          <w:rFonts w:ascii="Times New Roman" w:hAnsi="Times New Roman" w:cs="Times New Roman"/>
          <w:sz w:val="28"/>
          <w:szCs w:val="28"/>
          <w:u w:val="single"/>
        </w:rPr>
        <w:t>tvonkph@tiszavasvari.hu</w:t>
      </w:r>
    </w:p>
    <w:p w14:paraId="6B80114A" w14:textId="77777777" w:rsidR="00AD11D4" w:rsidRPr="00C5031E" w:rsidRDefault="00AD11D4" w:rsidP="00AD11D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2446B6" w14:textId="77777777" w:rsidR="00AD11D4" w:rsidRPr="00C5031E" w:rsidRDefault="00AD11D4" w:rsidP="00AD11D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  <w:u w:val="single"/>
        </w:rPr>
        <w:t>J E L E N T É S</w:t>
      </w:r>
    </w:p>
    <w:p w14:paraId="29B96D4A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27A10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a lejárt </w:t>
      </w:r>
      <w:proofErr w:type="spellStart"/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</w:t>
      </w:r>
    </w:p>
    <w:p w14:paraId="79318AE8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CAAD0FA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5031E">
        <w:rPr>
          <w:rFonts w:ascii="Times New Roman" w:hAnsi="Times New Roman" w:cs="Times New Roman"/>
          <w:i/>
          <w:iCs/>
          <w:sz w:val="24"/>
          <w:szCs w:val="24"/>
        </w:rPr>
        <w:t>Tisztelt Képviselő-testület!</w:t>
      </w:r>
    </w:p>
    <w:p w14:paraId="401FF9D6" w14:textId="77777777" w:rsidR="00AD11D4" w:rsidRPr="00C5031E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D8642" w14:textId="54AB26AB" w:rsidR="00516E58" w:rsidRPr="00C5031E" w:rsidRDefault="00AD11D4" w:rsidP="0085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 xml:space="preserve">A lejárt </w:t>
      </w:r>
      <w:proofErr w:type="spellStart"/>
      <w:r w:rsidRPr="00C5031E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sz w:val="24"/>
          <w:szCs w:val="24"/>
        </w:rPr>
        <w:t xml:space="preserve"> határozatok végrehajtásáról az alábbiakban számolok be:</w:t>
      </w:r>
    </w:p>
    <w:p w14:paraId="5F3FA6A3" w14:textId="77777777" w:rsidR="00854498" w:rsidRPr="00C5031E" w:rsidRDefault="00854498" w:rsidP="0085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8941D" w14:textId="0FB63E7E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180/2024. (VIII. 8.) Kt. számú határozat </w:t>
      </w:r>
    </w:p>
    <w:p w14:paraId="6751B09B" w14:textId="39451182" w:rsidR="00C5031E" w:rsidRDefault="00C5031E" w:rsidP="00A459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 járóbeteg szakellátásra vonatkozó működési engedélyének megszerzéséig a Képviselő-testület módosította korábbi döntését, és a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Központot</w:t>
      </w:r>
      <w:r w:rsidRPr="00C5031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végleges működési engedély megszerzése és a </w:t>
      </w: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finanszírozási szerződés megkötésétől, várhatóan 2024. 09.01. napjától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jelölte ki a feladat ellátására, melyhez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határozott idejű feladat-ellátási szerződést kötött. A szerződések a felek által aláírásra, a változások átvezetésre kerültek. </w:t>
      </w:r>
    </w:p>
    <w:p w14:paraId="67392C14" w14:textId="77777777" w:rsidR="00A45943" w:rsidRPr="00A45943" w:rsidRDefault="00A45943" w:rsidP="00A459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263BE85" w14:textId="5D882A88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192/2024. (VIII.8.) Kt. számú határozat </w:t>
      </w:r>
    </w:p>
    <w:p w14:paraId="1790B19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 w:rsidRPr="00C5031E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enntartotta a 227/2022. (VIII.30.) Kt. számú határozatával kinyilvánított szándékát, </w:t>
      </w:r>
      <w:proofErr w:type="gram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azaz</w:t>
      </w:r>
      <w:proofErr w:type="gram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 víziközmű rendszer Magyar Államra történő önkéntes átruházására irányuló Integrációs Programban részt kíván venni, és az integrációs folyamatba történő befogadásig árajánlatok kéréséről döntött a bérleti-üzemeltetési jogviszony létrehozása érdekében. Az árajánlatokra ajánlat nem érkezett. </w:t>
      </w:r>
    </w:p>
    <w:p w14:paraId="24FA777A" w14:textId="77777777" w:rsidR="00C5031E" w:rsidRPr="00C5031E" w:rsidRDefault="00C5031E" w:rsidP="00C50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F752520" w14:textId="4BD49D8A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193/2024. (VIII.8.) Kt. számú határozat </w:t>
      </w:r>
    </w:p>
    <w:p w14:paraId="5C1E2DC4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megállapította, hogy a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1679/2/A/23 helyrajzi számú,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valóságban a Tiszavasvári, Vasvári P. u. 6. sz. alatti ingatlan értékesítésére érkezett 1 db pályázat érvényes, ezért úgy döntött, hogy </w:t>
      </w: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adásvételi szerződést köt a pályázóval.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nem került előkészítésre, mert a vevő a vásárlástól írásbeli nyilatkozatában elállt. </w:t>
      </w:r>
    </w:p>
    <w:p w14:paraId="0CCE9CAF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1B12FC" w14:textId="36AC93D2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194/2024. (VIII.8.) Kt. számú határozat </w:t>
      </w:r>
    </w:p>
    <w:p w14:paraId="2FB42AAF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megállapította, hogy a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1679/2/A/12 helyrajzi számú,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valóságban a Tiszavasvári, Vasvári P. u. 6. sz. alatti ingatlan értékesítésére érkezett 1 db pályázat érvényes, ezért úgy döntött, hogy </w:t>
      </w: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adásvételi szerződést köt a pályázóval.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nem került előkészítésre, mert a vevő a vásárlástól írásbeli nyilatkozatában elállt. </w:t>
      </w:r>
    </w:p>
    <w:p w14:paraId="2DD64CF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2E2175" w14:textId="15AFAD38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195/2024. (VIII.8.) Kt. számú határozat </w:t>
      </w:r>
    </w:p>
    <w:p w14:paraId="17C64FC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megállapította, hogy a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1679/2/A/15 helyrajzi számú,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valóságban a Tiszavasvári, Vasvári P. u. 6. sz. alatti ingatlan értékesítésére érkezett 1 db pályázat érvényes, ezért úgy döntött, hogy </w:t>
      </w: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adásvételi szerződést köt a pályázóval.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nem került előkészítésre, mert a vevő a vásárlástól írásbeli nyilatkozatában elállt. </w:t>
      </w:r>
    </w:p>
    <w:p w14:paraId="170D0CA1" w14:textId="77777777" w:rsidR="00C5031E" w:rsidRPr="00C5031E" w:rsidRDefault="00C5031E" w:rsidP="00C503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A5EEF15" w14:textId="0F94ED3A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196/2024. (VIII.8.) Kt. számú határozat </w:t>
      </w:r>
    </w:p>
    <w:p w14:paraId="4DF590CA" w14:textId="16F46F4F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megállapította, hogy a tiszavasvári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1679/2/A/24 helyrajzi számú,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valóságban a Tiszavasvári, Vasvári P. u. 6. sz. alatti ingatlan értékesítésére érkezett 1 db pályázat érvényes, ezért úgy döntött, hogy adásvételi szerződést köt a pályázóval. </w:t>
      </w:r>
    </w:p>
    <w:p w14:paraId="2F985A28" w14:textId="77777777" w:rsidR="00874C1C" w:rsidRPr="00C5031E" w:rsidRDefault="00874C1C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E5A79E" w14:textId="5F5D802B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lastRenderedPageBreak/>
        <w:t xml:space="preserve">197/2024. (VIII.8.) Kt. számú határozat </w:t>
      </w:r>
    </w:p>
    <w:p w14:paraId="445C44D2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megállapította, hogy a tiszavasvári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1679/2/A/24 helyrajzi számú,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valóságban a Tiszavasvári, Vasvári P. u. 6. sz. alatti ingatlan értékesítésére érkezett 1 db pályázat érvényes, ezért úgy döntött, hogy adásvételi szerződést köt a pályázóval. </w:t>
      </w:r>
    </w:p>
    <w:p w14:paraId="22C8FFC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96E9114" w14:textId="210AD102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237/2024. (IX.13.) Kt. számú határozat </w:t>
      </w:r>
    </w:p>
    <w:p w14:paraId="11C0810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Tiszavasvári </w:t>
      </w: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Településszolgáltatási és Vagyonkezelési Nonprofit Kft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állandó könyvvizsgálójának az EXPERTUS-AUDIT Kft. képviseletében eljáró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Szélesné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Szelkó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Ildikó bejegyzett könyvvizsgálót bízta meg, 2024. szeptember 18. napjától 2029. május 31. napjáig tartó határozott időtartamra, továbbá módosította az alapítói és ügyvezetői hatáskörbe utalt döntéseket.  A módosító okirat aláírásra, a változások a cégnyilvántartásba bejegyzésre kerültek. </w:t>
      </w:r>
    </w:p>
    <w:p w14:paraId="21221447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3B0A458" w14:textId="18A893EA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238/2024. (IX. 13.) Kt. számú határozat </w:t>
      </w:r>
    </w:p>
    <w:p w14:paraId="2A9D72A7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tiszavasvári 1679/2/A/24 helyrajzi számú lakásértékesítésére vonatkozó adásvételi szerződését.  A szerződés a felek által aláírásra került. Az MNV Zrt. elővásárlási jogával nem élt, így a tulajdonváltozás az ingatlan nyilvántartásba bejegyzésre került. </w:t>
      </w:r>
    </w:p>
    <w:p w14:paraId="75442A5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3A5F145" w14:textId="163F2558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239/2024. (IX. 13.) Kt. számú határozat </w:t>
      </w:r>
    </w:p>
    <w:p w14:paraId="74FEB905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tiszavasvári 1679/2/A/31 helyrajzi számú lakásértékesítésére vonatkozó adásvételi szerződését.  A szerződés a felek által aláírásra került. Az MNV Zrt. elővásárlási jogával nem élt, így a tulajdonváltozás az ingatlan nyilvántartásba bejegyzésre került. </w:t>
      </w:r>
    </w:p>
    <w:p w14:paraId="6B0CF16B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E6FA3FF" w14:textId="38814E0E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262/2024.(X.8.) Kt. számú határozat </w:t>
      </w:r>
    </w:p>
    <w:p w14:paraId="0BF32CBB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kizárta a polgármestert illetményének és költségtérítésének megállapításáról</w:t>
      </w:r>
      <w:r w:rsidRPr="00C503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döntés meghozatalából. Ezt követően megállapította illetményét, költségtérítését, és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cafeteria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juttatását 2024. október 1. napjától, a határozat végrehajtása folyamatos.  </w:t>
      </w:r>
    </w:p>
    <w:p w14:paraId="0B07B32A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E71899" w14:textId="539C4ACC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264/2024. (X.8.) Kt. számú határozat </w:t>
      </w:r>
    </w:p>
    <w:p w14:paraId="21A76892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Képviselő-testület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tagjai közül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Kórikné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Szemcsák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Nikolett képviselőt 2024. október 8. napjától társadalmi megbízatású alpolgármesternek választotta. Az eskütétel megtörtént.</w:t>
      </w:r>
    </w:p>
    <w:p w14:paraId="5C37325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C1961B0" w14:textId="2DEE5A8A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265/2024. (X.8.) Kt. számú határozata </w:t>
      </w:r>
    </w:p>
    <w:p w14:paraId="64C56804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- nem a képviselő-testület tagjai közül - Dohos Lászlót választotta 2024. október 8. napjától társadalmi megbízatású alpolgármesternek. Az eskütétel megtörtént.</w:t>
      </w:r>
    </w:p>
    <w:p w14:paraId="04343B72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1F4D8B" w14:textId="2C141F39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267/2024. (X.8.) Kt. számú határozata </w:t>
      </w:r>
    </w:p>
    <w:p w14:paraId="22EE9C79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kizárta az alpolgármester illetményének és költségtérítésének megállapításáról</w:t>
      </w:r>
      <w:r w:rsidRPr="00C503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döntés meghozatalából. Ezt követően megállapította illetményét, költségtérítését 2024. október 8. napjától, a határozat végrehajtása folyamatos.  </w:t>
      </w:r>
    </w:p>
    <w:p w14:paraId="36F592AB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D3A42E2" w14:textId="36183B69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268/2024. (X.8.) Kt. számú határozata </w:t>
      </w:r>
    </w:p>
    <w:p w14:paraId="0F24896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megállapította az alpolgármester illetményét, költségtérítését 2024. október 8. napjától, a határozat végrehajtása folyamatos.  </w:t>
      </w:r>
    </w:p>
    <w:p w14:paraId="07B82231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A467F9C" w14:textId="05AAD5EF" w:rsidR="00C5031E" w:rsidRPr="005E79C6" w:rsidRDefault="00C5031E" w:rsidP="005E79C6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270/2024. (X.8.) Kt. számú határozata</w:t>
      </w:r>
    </w:p>
    <w:p w14:paraId="0D9A68D4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Képviselő-testület megválasztotta a Pénzügyi és Ügyrendi Bizottság tagjait és elnökét. Az eskütétel megtörtént.</w:t>
      </w:r>
    </w:p>
    <w:p w14:paraId="77B448BB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3BB5C6" w14:textId="4F540A6C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271/2024. (X.8.) Kt. számú határozata </w:t>
      </w:r>
    </w:p>
    <w:p w14:paraId="79B9645D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megválasztotta a Szociális és Humán Bizottság tagjait. Az eskütétel megtörtént. </w:t>
      </w:r>
    </w:p>
    <w:p w14:paraId="584C3227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37256A" w14:textId="0CB1DC33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276/2024. (X.24.) Kt. számú határozata </w:t>
      </w:r>
    </w:p>
    <w:p w14:paraId="67A3112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módosítását egységes szerkezetben fogadta el a testület, melyet aláírtam, és az ügyvezetővel közöltem.</w:t>
      </w:r>
    </w:p>
    <w:p w14:paraId="75D6B1A1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0FDA2D" w14:textId="1F3B7914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279/2024. (X.24.) Kt. számú határozata</w:t>
      </w:r>
    </w:p>
    <w:p w14:paraId="5731B07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határozatban foglalt döntések végrehajtása minden intézmény esetében megtörtént. </w:t>
      </w:r>
    </w:p>
    <w:p w14:paraId="284C717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6C38FD" w14:textId="2B17CE0A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299/2024. (XI.21.) Kt. számú határozata</w:t>
      </w:r>
    </w:p>
    <w:p w14:paraId="54D32052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kinyilvánította azon szándékát, miszerint az őt terhelő </w:t>
      </w:r>
      <w:r w:rsidRPr="00C503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víziközmű-szolgáltatás biztosítása vonatkozásában fennálló ellátási kötelezettségét átruházza a Magyar Államra. Az erre vonatkozó megállapodás 2024. november 25. napján aláírásra került.</w:t>
      </w:r>
    </w:p>
    <w:p w14:paraId="428BBE8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469E2B9" w14:textId="2913207F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302/2024. (XI.21.) Kt. számú határozata </w:t>
      </w:r>
    </w:p>
    <w:p w14:paraId="3D2B87F5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időtartamának módosítását egységes szerkezetben fogadta el a testület, melyet aláírtam, és az ügyvezetővel közöltem.</w:t>
      </w:r>
    </w:p>
    <w:p w14:paraId="4A0B970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78DE876" w14:textId="77547DAE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303/2024. (XI. 21.) Kt. számú határozata</w:t>
      </w:r>
    </w:p>
    <w:p w14:paraId="1A1BF9D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időtartamának módosítását egységes szerkezetben fogadta el a testület, melyet aláírtam, és az ügyvezetővel közöltem.</w:t>
      </w:r>
    </w:p>
    <w:p w14:paraId="3E4C9A6D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9CB675" w14:textId="1A1BBC1E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304/2024. (XI. 21.) Kt. számú határozata </w:t>
      </w:r>
    </w:p>
    <w:p w14:paraId="4210630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időtartamának módosításáról szóló okiratot aláírtam, a döntést közöltem a </w:t>
      </w:r>
      <w:proofErr w:type="gram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ügyvezetőjével.</w:t>
      </w:r>
    </w:p>
    <w:p w14:paraId="09B49436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BDFE09" w14:textId="3F91C9EC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319/2024. (XI.21.) Kt. számú határozata </w:t>
      </w:r>
    </w:p>
    <w:p w14:paraId="0AC78D5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megállapította, hogy a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1679/2/A/12 helyrajzi számú,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valóságban a Tiszavasvári, Vasvári P. u. 6. sz. alatti ingatlan értékesítésére érkezett 1 db pályázat érvényes, ezért úgy döntött, hogy </w:t>
      </w: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adásvételi szerződést köt a pályázóval.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nem került előkészítésre, mert a vevő a vásárlástól írásbeli nyilatkozatában elállt. </w:t>
      </w:r>
    </w:p>
    <w:p w14:paraId="4703FE56" w14:textId="77777777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hu-HU"/>
        </w:rPr>
      </w:pPr>
    </w:p>
    <w:p w14:paraId="7E0B982F" w14:textId="235C7FB8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320/2024. (XI.21.) Kt. számú határozata </w:t>
      </w:r>
    </w:p>
    <w:p w14:paraId="1DDA34BE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megállapította, hogy a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tiszavasvári </w:t>
      </w:r>
      <w:r w:rsidRPr="00C5031E">
        <w:rPr>
          <w:rFonts w:ascii="Times New Roman" w:hAnsi="Times New Roman" w:cs="Times New Roman"/>
          <w:sz w:val="24"/>
          <w:szCs w:val="24"/>
          <w:lang w:eastAsia="hu-HU"/>
        </w:rPr>
        <w:t xml:space="preserve">1679/2/A/15 helyrajzi számú,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valóságban a Tiszavasvári, Vasvári P. u. 6. sz. alatti ingatlan értékesítésére érkezett 1 db pályázat érvényes, ezért úgy döntött, hogy </w:t>
      </w:r>
      <w:r w:rsidRPr="00C503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adásvételi szerződést köt a pályázóval.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nem került előkészítésre, mert a vevő a vásárlástól írásbeli nyilatkozatában elállt. </w:t>
      </w:r>
    </w:p>
    <w:p w14:paraId="572625A1" w14:textId="77777777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hu-HU"/>
        </w:rPr>
      </w:pPr>
    </w:p>
    <w:p w14:paraId="25F6A68B" w14:textId="76E5DF3F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321/2024. (XI.21.) Kt. számú határozata</w:t>
      </w:r>
    </w:p>
    <w:p w14:paraId="025FE75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jóváhagyta a tiszavasvári 1679/2/A/23 helyrajzi számú lakásértékesítésére vonatkozó adásvételi szerződését.  A szerződés a felek által aláírásra került. Az MNV Zrt. elővásárlási jogával nem élt, így a tulajdonváltozás az ingatlan nyilvántartásba bejegyzésre került. </w:t>
      </w:r>
    </w:p>
    <w:p w14:paraId="343B6520" w14:textId="77777777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9AB782" w14:textId="4E46D159" w:rsidR="00C5031E" w:rsidRPr="00C5031E" w:rsidRDefault="00C5031E" w:rsidP="002253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331/2024. (XII.13.) Kt. számú határozata</w:t>
      </w:r>
    </w:p>
    <w:p w14:paraId="387ED3E3" w14:textId="77777777" w:rsidR="00C5031E" w:rsidRPr="00C5031E" w:rsidRDefault="00C5031E" w:rsidP="00C5031E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kérdőív online kitöltéséről határidőben gondoskodtam a Képviselő-testület döntésének megfelelően.</w:t>
      </w:r>
    </w:p>
    <w:p w14:paraId="74938740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6B8E45" w14:textId="06AEAF5B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332/2024. (XII.13.) Kt. számú határozata </w:t>
      </w:r>
    </w:p>
    <w:p w14:paraId="3A3DEB65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kizárta a polgármestert az illetményének és költségtérítésének megállapításáról</w:t>
      </w:r>
      <w:r w:rsidRPr="00C503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döntés meghozatalából. Ezt követően megállapította illetményét, költségtérítését 2024. október 1. napjától, a határozat végrehajtása folyamatos.  </w:t>
      </w:r>
    </w:p>
    <w:p w14:paraId="747C651E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B8C4D0" w14:textId="1E287F6F" w:rsidR="00C5031E" w:rsidRPr="00C5031E" w:rsidRDefault="00C5031E" w:rsidP="00225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39/2025. (II.20.) Kt. számú határozata</w:t>
      </w:r>
    </w:p>
    <w:p w14:paraId="3B631EF4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döntött az igazgatói álláshely betöltésére vonatkozó pályázati felhívásról A pályázati eljárás eredményesen lezárult.</w:t>
      </w:r>
    </w:p>
    <w:p w14:paraId="64A743BD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A03B0A" w14:textId="154A554F" w:rsidR="00C5031E" w:rsidRPr="00C5031E" w:rsidRDefault="00C5031E" w:rsidP="007B79A2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44/2025. (II.20.) Kt. számú határozata</w:t>
      </w:r>
    </w:p>
    <w:p w14:paraId="6D05A39B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módosította a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a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Központban ellátott étkeztetési feladatok ellátására vonatkozó szerződés módosítását, a feladatok hatékonyabb napi szintű szervezése érdekében. A módosító okirat aláírásra került, az érintett feleket értesítettem a döntésről.</w:t>
      </w:r>
    </w:p>
    <w:p w14:paraId="0C625B4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CFF49F2" w14:textId="00E8CDE1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45/2025. (II.20.) Kt. számú határozata</w:t>
      </w:r>
    </w:p>
    <w:p w14:paraId="38C492B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módosította a szerződést a </w:t>
      </w:r>
      <w:proofErr w:type="gram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2025. évi támogatásának meghatározása érdekében. Az egységes szerkezetben elfogadott szerződést aláírtam, a </w:t>
      </w:r>
      <w:proofErr w:type="gram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ügyvezetőjét tájékoztattam a döntésről. </w:t>
      </w:r>
    </w:p>
    <w:p w14:paraId="683D7375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7325FB" w14:textId="669A134D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59/2025. (II. 20.) Kt. számú határozata</w:t>
      </w:r>
      <w:r w:rsidRPr="00C503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</w:p>
    <w:p w14:paraId="5C84CC4C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Kft. által használt telephelyek változása miatt a használati szerződés módosításáról döntött a testület, a szerződést a módosítással egységes szerkezetben aláírtam, a </w:t>
      </w:r>
      <w:proofErr w:type="gram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ügyvezetőjét tájékoztattam a döntésről.</w:t>
      </w:r>
    </w:p>
    <w:p w14:paraId="6D9E6FB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6854E8" w14:textId="6F6B1200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60/2025. (II. 20.) Kt. számú határozata</w:t>
      </w:r>
    </w:p>
    <w:p w14:paraId="098E286B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döntött az önkormányzati tulajdonú JCB munkagép bérbeadásáról az ÉRV Zrt. részére, 1 év időtartamra. A bérleti szerződést aláírtam.</w:t>
      </w:r>
    </w:p>
    <w:p w14:paraId="2DB14612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336F3D" w14:textId="7237A5CB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63/2025. (II.20.) Kt. számú határozata</w:t>
      </w:r>
    </w:p>
    <w:p w14:paraId="053F4E02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elfogadta az igazgató munkaszerződésének módosítását, melyet aláírtam.</w:t>
      </w:r>
    </w:p>
    <w:p w14:paraId="67579A3F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7AC8EF" w14:textId="2E733B43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64/2025. (II.20.) Kt. számú határozata</w:t>
      </w:r>
    </w:p>
    <w:p w14:paraId="767B7DBE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elfogadta az igazgató munkaszerződésének módosítását, melyet aláírtam.</w:t>
      </w:r>
    </w:p>
    <w:p w14:paraId="7A93EB37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0813D" w14:textId="02438544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99/2025.(III.28.) Kt. számú határozata</w:t>
      </w:r>
    </w:p>
    <w:p w14:paraId="6BAAD8D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döntött az EKIK igazgatói álláshelyének betöltéséről. A nyertes pályázóval az elfogadott munkaszerződést megkötöttem.</w:t>
      </w:r>
    </w:p>
    <w:p w14:paraId="144D046D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6E6C7DA" w14:textId="6962EE12" w:rsidR="00B8239E" w:rsidRPr="00B8239E" w:rsidRDefault="00B8239E" w:rsidP="00B8239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239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110/2025.(IV.23.) Kt. számú határozata</w:t>
      </w:r>
      <w:r w:rsidRPr="00B8239E">
        <w:rPr>
          <w:rFonts w:ascii="Times New Roman" w:hAnsi="Times New Roman" w:cs="Times New Roman"/>
          <w:b/>
          <w:sz w:val="24"/>
          <w:szCs w:val="24"/>
          <w:u w:val="single"/>
        </w:rPr>
        <w:t>, 111/2025. (IV.23.) Kt. számú határozata</w:t>
      </w:r>
    </w:p>
    <w:p w14:paraId="52FC1DE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döntött az önkormányzati rendészeti szerv létrehozásáról a Polgármesteri Hivatal önálló szervezeti egységeként. Ehhez kapcsolódóan a munkajogi döntések megvalósultak és a hivatal szervezeti és működési szabályzatának módosítása megtörtént. </w:t>
      </w:r>
    </w:p>
    <w:p w14:paraId="1124C6D7" w14:textId="77777777" w:rsidR="007B79A2" w:rsidRPr="00C5031E" w:rsidRDefault="007B79A2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28D08B" w14:textId="6E68FEC1" w:rsidR="00C5031E" w:rsidRPr="00C5031E" w:rsidRDefault="00C5031E" w:rsidP="005E79C6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lastRenderedPageBreak/>
        <w:t>137/2025. (V.22.) Kt. számú határozata</w:t>
      </w:r>
    </w:p>
    <w:p w14:paraId="28D53772" w14:textId="77777777" w:rsidR="00C5031E" w:rsidRPr="00C5031E" w:rsidRDefault="00C5031E" w:rsidP="00C5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rendőrséggel kötött, hatályos együttműködési megállapodás módosítását, az önkormányzati rendészet létrejötte okán. A Rendőrkapitánysággal egyeztetve megállapításra került, hogy kapcsolattartó személyében bekövetkező változás miatt nem szükséges a megállapodás módosítása, a változást a rendőrség tudomásul veszi. Így nem került aláírásra az új együttműködési megállapodás, tekintettel arra, hogy a felek között hatályban lévő megállapodás teljes mértékben lefedi az önkormányzati rendészet, mint új szervezeti egység működéséhez szükséges együttműködés tartalmát, így változatlan tartalommal hatályban maradt. </w:t>
      </w:r>
    </w:p>
    <w:p w14:paraId="16BCC6D1" w14:textId="77777777" w:rsidR="00C5031E" w:rsidRPr="00C5031E" w:rsidRDefault="00C5031E" w:rsidP="00C5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7FD09F" w14:textId="236DC965" w:rsidR="00C5031E" w:rsidRPr="00C5031E" w:rsidRDefault="00C5031E" w:rsidP="007B79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160/2025. (V.27.) Kt. számú határozata</w:t>
      </w:r>
    </w:p>
    <w:p w14:paraId="667366F6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közszolgáltatási szerződés szerinti, 2024. évi tevékenységéről szóló beszámolót. A döntésről tájékoztattam az ügyvezetőt.</w:t>
      </w:r>
    </w:p>
    <w:p w14:paraId="7441C74D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4F1993" w14:textId="2503E9EC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173/2025. (VI. 25.) Kt. számú határozata</w:t>
      </w:r>
    </w:p>
    <w:p w14:paraId="6095030D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</w:t>
      </w:r>
      <w:proofErr w:type="spell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használati szerződésének módosítását, egységes szerkezetben, melyet aláírtam. A döntésről tájékoztattam az ügyvezetőt. </w:t>
      </w:r>
    </w:p>
    <w:p w14:paraId="4FA30414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8A0D7C" w14:textId="6BEDDBD5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174/2025. (VI.25.) Kt. számú határozata</w:t>
      </w:r>
    </w:p>
    <w:p w14:paraId="0D34256B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elfogadta a </w:t>
      </w:r>
      <w:r w:rsidRPr="00C503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2539/1 helyrajzi számú, „kivett lakóház, udvar, gazdasági épület” művelési ágú ingatlanból 1657 m2 nagyságú ingatlanrész megvásárlására kötendő adásvételi előszerződést, mely a felek által aláírásra került. </w:t>
      </w:r>
    </w:p>
    <w:p w14:paraId="248C256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E9E0457" w14:textId="301756A3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188/2025. (VI.25.) Kt. számú határozata</w:t>
      </w:r>
    </w:p>
    <w:p w14:paraId="3F1970D8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úgy döntött, hogy nem fogadja el a TÖMB 2002. Kft. egyezségi ajánlatát. A döntésről tájékoztattam a </w:t>
      </w:r>
      <w:proofErr w:type="gramStart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Kft.</w:t>
      </w:r>
      <w:proofErr w:type="gramEnd"/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képviselőjét, valamint a jogi képviselőnk útján kértem a bírósági eljárás folytatását. A peres eljárás a 2025. november 12. napjára kitűzött tárgyalással folytatódik.</w:t>
      </w:r>
    </w:p>
    <w:p w14:paraId="4E0AF665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38E095A" w14:textId="4B72975E" w:rsidR="00C5031E" w:rsidRPr="00C5031E" w:rsidRDefault="00C5031E" w:rsidP="007B79A2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195/2025. (VII.31.) Kt. számú határozata</w:t>
      </w:r>
    </w:p>
    <w:p w14:paraId="7B096343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döntött a gimnázium épületének és a feladatellátást szolgáló ingó vagyonnak a Tiszavasvári Református Egyházközség részére történő tulajdonba adásáról, az egyházközség igénybejelentése alapján, a törvény rendelkezése okán. A megállapodás módosításra került a Pedagógia Szakszolgálat feladatellátását szolgáló épületrész miatti pontosítással. A megállapodás a felek által aláírásra került.</w:t>
      </w:r>
    </w:p>
    <w:p w14:paraId="3231E991" w14:textId="77777777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EEE4DF" w14:textId="1B80C7F9" w:rsidR="00C5031E" w:rsidRPr="00C5031E" w:rsidRDefault="00C5031E" w:rsidP="00C5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212/2025. (VII.31.) Kt. számú határozata</w:t>
      </w:r>
    </w:p>
    <w:p w14:paraId="1C2F5EC7" w14:textId="486442CE" w:rsidR="006B44C1" w:rsidRDefault="00C5031E" w:rsidP="002E0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Egyenlő Bánásmódért Felelős Főigazgatóság előtt folyamatban lévő eljárásban megtette nyilatkozatát a hatóság felhívására, melyet határidőben továbbítottam feléjük. Az eljárás eredményéről azóta nem kaptam tájékoztatást.</w:t>
      </w:r>
    </w:p>
    <w:p w14:paraId="0FF16240" w14:textId="16CB3E07" w:rsidR="002E0B5C" w:rsidRPr="002E0B5C" w:rsidRDefault="002E0B5C" w:rsidP="002E0B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</w:p>
    <w:p w14:paraId="4F649B17" w14:textId="77777777" w:rsidR="002E0B5C" w:rsidRPr="002E0B5C" w:rsidRDefault="002E0B5C" w:rsidP="00A459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B5C">
        <w:rPr>
          <w:rFonts w:ascii="Times New Roman" w:hAnsi="Times New Roman" w:cs="Times New Roman"/>
          <w:b/>
          <w:sz w:val="24"/>
          <w:szCs w:val="24"/>
          <w:u w:val="single"/>
        </w:rPr>
        <w:t>154/2025. (V.22.) Kt. számú határozat</w:t>
      </w:r>
    </w:p>
    <w:p w14:paraId="619EAC6D" w14:textId="77777777" w:rsidR="002E0B5C" w:rsidRDefault="002E0B5C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B5C">
        <w:rPr>
          <w:rFonts w:ascii="Times New Roman" w:hAnsi="Times New Roman" w:cs="Times New Roman"/>
          <w:sz w:val="24"/>
          <w:szCs w:val="24"/>
        </w:rPr>
        <w:t xml:space="preserve">A képviselő-testület a „Vasvári Pál” Gyermekdíjat 2025. évben </w:t>
      </w:r>
      <w:proofErr w:type="spellStart"/>
      <w:r w:rsidRPr="002E0B5C">
        <w:rPr>
          <w:rFonts w:ascii="Times New Roman" w:hAnsi="Times New Roman" w:cs="Times New Roman"/>
          <w:sz w:val="24"/>
          <w:szCs w:val="24"/>
        </w:rPr>
        <w:t>Girincsi</w:t>
      </w:r>
      <w:proofErr w:type="spellEnd"/>
      <w:r w:rsidRPr="002E0B5C">
        <w:rPr>
          <w:rFonts w:ascii="Times New Roman" w:hAnsi="Times New Roman" w:cs="Times New Roman"/>
          <w:sz w:val="24"/>
          <w:szCs w:val="24"/>
        </w:rPr>
        <w:t xml:space="preserve"> Bella a Tiszavasvári </w:t>
      </w:r>
      <w:proofErr w:type="spellStart"/>
      <w:r w:rsidRPr="002E0B5C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2E0B5C">
        <w:rPr>
          <w:rFonts w:ascii="Times New Roman" w:hAnsi="Times New Roman" w:cs="Times New Roman"/>
          <w:sz w:val="24"/>
          <w:szCs w:val="24"/>
        </w:rPr>
        <w:t xml:space="preserve"> János Általános Iskola 8. osztályos tanulója részére adományozta. A kitüntető díj átadásáról az intézmény ballagási ünnepségén gondoskodtam.</w:t>
      </w:r>
    </w:p>
    <w:p w14:paraId="4C913C22" w14:textId="77777777" w:rsidR="00A45943" w:rsidRPr="002E0B5C" w:rsidRDefault="00A45943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49C118" w14:textId="77777777" w:rsidR="002E0B5C" w:rsidRPr="002E0B5C" w:rsidRDefault="002E0B5C" w:rsidP="005E79C6">
      <w:pPr>
        <w:pageBreakBefore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B5C">
        <w:rPr>
          <w:rFonts w:ascii="Times New Roman" w:hAnsi="Times New Roman" w:cs="Times New Roman"/>
          <w:b/>
          <w:sz w:val="24"/>
          <w:szCs w:val="24"/>
          <w:u w:val="single"/>
        </w:rPr>
        <w:t>155/2025. (V.22.) Kt. számú határozat</w:t>
      </w:r>
    </w:p>
    <w:p w14:paraId="6B8173FB" w14:textId="77777777" w:rsidR="002E0B5C" w:rsidRDefault="002E0B5C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B5C">
        <w:rPr>
          <w:rFonts w:ascii="Times New Roman" w:hAnsi="Times New Roman" w:cs="Times New Roman"/>
          <w:sz w:val="24"/>
          <w:szCs w:val="24"/>
        </w:rPr>
        <w:lastRenderedPageBreak/>
        <w:t xml:space="preserve">A képviselő-testület az „Év Pedagógusa” Kitüntető Díjat 2025. évben Erdei-Dankó Eszter a Tiszavasvári </w:t>
      </w:r>
      <w:proofErr w:type="spellStart"/>
      <w:r w:rsidRPr="002E0B5C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2E0B5C">
        <w:rPr>
          <w:rFonts w:ascii="Times New Roman" w:hAnsi="Times New Roman" w:cs="Times New Roman"/>
          <w:sz w:val="24"/>
          <w:szCs w:val="24"/>
        </w:rPr>
        <w:t xml:space="preserve"> János Általános Iskola tanítója részére adományozta. A kitüntető díj átadásáról gondoskodtam.</w:t>
      </w:r>
    </w:p>
    <w:p w14:paraId="3585D339" w14:textId="77777777" w:rsidR="00A45943" w:rsidRPr="002E0B5C" w:rsidRDefault="00A45943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4B6236" w14:textId="77777777" w:rsidR="002E0B5C" w:rsidRPr="002E0B5C" w:rsidRDefault="002E0B5C" w:rsidP="005E79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B5C">
        <w:rPr>
          <w:rFonts w:ascii="Times New Roman" w:hAnsi="Times New Roman" w:cs="Times New Roman"/>
          <w:b/>
          <w:sz w:val="24"/>
          <w:szCs w:val="24"/>
          <w:u w:val="single"/>
        </w:rPr>
        <w:t>175/2025. (VI.25.) Kt. számú határozat</w:t>
      </w:r>
    </w:p>
    <w:p w14:paraId="710C3684" w14:textId="6A050F97" w:rsidR="002E0B5C" w:rsidRDefault="002E0B5C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B5C">
        <w:rPr>
          <w:rFonts w:ascii="Times New Roman" w:hAnsi="Times New Roman" w:cs="Times New Roman"/>
          <w:sz w:val="24"/>
          <w:szCs w:val="24"/>
        </w:rPr>
        <w:t>A képviselő-testület elfogadta a Kisvárosok Szövetségének 2024. évi pénzügyi beszámolóját, mely döntésről írásban tájékoztattam a szövetség elnökét.</w:t>
      </w:r>
    </w:p>
    <w:p w14:paraId="569FB197" w14:textId="77777777" w:rsidR="00A45943" w:rsidRPr="002E0B5C" w:rsidRDefault="00A45943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94476E" w14:textId="77777777" w:rsidR="002E0B5C" w:rsidRPr="002E0B5C" w:rsidRDefault="002E0B5C" w:rsidP="00A459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B5C">
        <w:rPr>
          <w:rFonts w:ascii="Times New Roman" w:hAnsi="Times New Roman" w:cs="Times New Roman"/>
          <w:b/>
          <w:sz w:val="24"/>
          <w:szCs w:val="24"/>
          <w:u w:val="single"/>
        </w:rPr>
        <w:t>176/2025. (VI.25.) Kt. számú határozat</w:t>
      </w:r>
    </w:p>
    <w:p w14:paraId="18D9930E" w14:textId="476CC9B8" w:rsidR="002E0B5C" w:rsidRDefault="002E0B5C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B5C">
        <w:rPr>
          <w:rFonts w:ascii="Times New Roman" w:hAnsi="Times New Roman" w:cs="Times New Roman"/>
          <w:sz w:val="24"/>
          <w:szCs w:val="24"/>
        </w:rPr>
        <w:t>Módosításra került a Tiszavasvári Polgármesteri Hivatal alapító okirata a mezőőröknek és a gyepmesteri telepnek, mint feladatellátásnak a Hivatalhoz kerülése miatt. A szükséges dokumentumokat benyújtottam a Magyar Államkincstárhoz, a változások átvezetésre kerültek a törzskönyvi nyilvántartásban.</w:t>
      </w:r>
    </w:p>
    <w:p w14:paraId="18DB4993" w14:textId="77777777" w:rsidR="00A45943" w:rsidRPr="002E0B5C" w:rsidRDefault="00A45943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EB5102" w14:textId="77777777" w:rsidR="002E0B5C" w:rsidRPr="002E0B5C" w:rsidRDefault="002E0B5C" w:rsidP="00A459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B5C">
        <w:rPr>
          <w:rFonts w:ascii="Times New Roman" w:hAnsi="Times New Roman" w:cs="Times New Roman"/>
          <w:b/>
          <w:sz w:val="24"/>
          <w:szCs w:val="24"/>
          <w:u w:val="single"/>
        </w:rPr>
        <w:t>185/2025. (VI.25.) Kt. számú határozat</w:t>
      </w:r>
    </w:p>
    <w:p w14:paraId="778F9A28" w14:textId="77777777" w:rsidR="002E0B5C" w:rsidRDefault="002E0B5C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B5C">
        <w:rPr>
          <w:rFonts w:ascii="Times New Roman" w:hAnsi="Times New Roman" w:cs="Times New Roman"/>
          <w:sz w:val="24"/>
          <w:szCs w:val="24"/>
        </w:rPr>
        <w:t>Módosításra került az alapellátásához kapcsolódó fogorvosi ügyeleti ellátásra a Nyíregyházi Szociális Gondozási és Egészségügyi Alapellátási Központtal kötött szerződés, melyet aláírtam és megküldtem a Központnak.</w:t>
      </w:r>
    </w:p>
    <w:p w14:paraId="682872F5" w14:textId="77777777" w:rsidR="00A45943" w:rsidRPr="002E0B5C" w:rsidRDefault="00A45943" w:rsidP="00A459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19E80A" w14:textId="77777777" w:rsidR="002E0B5C" w:rsidRPr="002E0B5C" w:rsidRDefault="002E0B5C" w:rsidP="00A4594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B5C">
        <w:rPr>
          <w:rFonts w:ascii="Times New Roman" w:hAnsi="Times New Roman" w:cs="Times New Roman"/>
          <w:b/>
          <w:sz w:val="24"/>
          <w:szCs w:val="24"/>
          <w:u w:val="single"/>
        </w:rPr>
        <w:t>206/2025. (VII.31.) Kt. számú határozat</w:t>
      </w:r>
    </w:p>
    <w:p w14:paraId="0BE7BD0D" w14:textId="77777777" w:rsidR="002E0B5C" w:rsidRPr="002E0B5C" w:rsidRDefault="002E0B5C" w:rsidP="002E0B5C">
      <w:pPr>
        <w:jc w:val="both"/>
        <w:rPr>
          <w:rFonts w:ascii="Times New Roman" w:hAnsi="Times New Roman" w:cs="Times New Roman"/>
          <w:sz w:val="24"/>
          <w:szCs w:val="24"/>
        </w:rPr>
      </w:pPr>
      <w:r w:rsidRPr="002E0B5C">
        <w:rPr>
          <w:rFonts w:ascii="Times New Roman" w:hAnsi="Times New Roman" w:cs="Times New Roman"/>
          <w:sz w:val="24"/>
          <w:szCs w:val="24"/>
        </w:rPr>
        <w:t xml:space="preserve">Döntött a testület arról, hogy a Tiszavasvári Egyesített Óvodai Intézmény valamennyi óvodai csoportja esetében engedélyezi a 2025/2026-os nevelési évre vonatkozóan a maximális csoportlétszám </w:t>
      </w:r>
      <w:proofErr w:type="gramStart"/>
      <w:r w:rsidRPr="002E0B5C">
        <w:rPr>
          <w:rFonts w:ascii="Times New Roman" w:hAnsi="Times New Roman" w:cs="Times New Roman"/>
          <w:sz w:val="24"/>
          <w:szCs w:val="24"/>
        </w:rPr>
        <w:t>20%-</w:t>
      </w:r>
      <w:proofErr w:type="spellStart"/>
      <w:r w:rsidRPr="002E0B5C">
        <w:rPr>
          <w:rFonts w:ascii="Times New Roman" w:hAnsi="Times New Roman" w:cs="Times New Roman"/>
          <w:sz w:val="24"/>
          <w:szCs w:val="24"/>
        </w:rPr>
        <w:t>al</w:t>
      </w:r>
      <w:proofErr w:type="spellEnd"/>
      <w:proofErr w:type="gramEnd"/>
      <w:r w:rsidRPr="002E0B5C">
        <w:rPr>
          <w:rFonts w:ascii="Times New Roman" w:hAnsi="Times New Roman" w:cs="Times New Roman"/>
          <w:sz w:val="24"/>
          <w:szCs w:val="24"/>
        </w:rPr>
        <w:t xml:space="preserve"> való túllépését. A döntésről tájékoztattam az óvoda vezetőjét.</w:t>
      </w:r>
    </w:p>
    <w:p w14:paraId="39E7873F" w14:textId="77777777" w:rsidR="002E0B5C" w:rsidRPr="00C5031E" w:rsidRDefault="002E0B5C" w:rsidP="006B44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97242" w14:textId="7D3F833D" w:rsidR="00AD11D4" w:rsidRPr="00C5031E" w:rsidRDefault="00AD11D4" w:rsidP="0069044A">
      <w:pPr>
        <w:pStyle w:val="Cmsor1"/>
        <w:spacing w:before="0" w:after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Tiszavasvári, 2025. </w:t>
      </w:r>
      <w:r w:rsidR="00333E3B" w:rsidRPr="00C5031E">
        <w:rPr>
          <w:rFonts w:ascii="Times New Roman" w:hAnsi="Times New Roman" w:cs="Times New Roman"/>
          <w:bCs/>
          <w:color w:val="auto"/>
          <w:sz w:val="24"/>
          <w:szCs w:val="24"/>
        </w:rPr>
        <w:t>szeptember 19</w:t>
      </w: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61C14902" w14:textId="77777777" w:rsidR="00AD11D4" w:rsidRPr="00C5031E" w:rsidRDefault="00AD11D4" w:rsidP="00AD11D4">
      <w:pPr>
        <w:pStyle w:val="Cmsor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</w:t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</w:t>
      </w:r>
    </w:p>
    <w:p w14:paraId="4F1AB54E" w14:textId="77777777" w:rsidR="00AD11D4" w:rsidRPr="00C5031E" w:rsidRDefault="00AD11D4" w:rsidP="00AD11D4">
      <w:pPr>
        <w:pStyle w:val="Cmsor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</w:t>
      </w:r>
    </w:p>
    <w:p w14:paraId="4EAA5A89" w14:textId="18E88F55" w:rsidR="00AD11D4" w:rsidRPr="00C5031E" w:rsidRDefault="00AD11D4" w:rsidP="00AD11D4">
      <w:pPr>
        <w:pStyle w:val="Cmsor1"/>
        <w:spacing w:before="0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</w:t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5031E">
        <w:rPr>
          <w:rFonts w:ascii="Times New Roman" w:hAnsi="Times New Roman" w:cs="Times New Roman"/>
          <w:color w:val="auto"/>
          <w:sz w:val="24"/>
          <w:szCs w:val="24"/>
        </w:rPr>
        <w:tab/>
        <w:t xml:space="preserve">Balázsi Csilla </w:t>
      </w:r>
    </w:p>
    <w:p w14:paraId="78601481" w14:textId="05FF64A7" w:rsidR="00AD11D4" w:rsidRPr="00C5031E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C5031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polgármester</w:t>
      </w:r>
    </w:p>
    <w:p w14:paraId="18FF97CB" w14:textId="77777777" w:rsidR="00AD11D4" w:rsidRPr="00C5031E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6F1533" w14:textId="77777777" w:rsidR="00AD11D4" w:rsidRPr="00C5031E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608CFFD2" w14:textId="77777777" w:rsidR="00AD11D4" w:rsidRPr="00C5031E" w:rsidRDefault="00AD11D4" w:rsidP="0069044A">
      <w:pPr>
        <w:pStyle w:val="Cmsor1"/>
        <w:pageBreakBefore/>
        <w:spacing w:before="0" w:after="0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5031E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HATÁROZAT-TERVEZET</w:t>
      </w:r>
    </w:p>
    <w:p w14:paraId="1C3F0145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14:paraId="38206FB6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4F6A6312" w14:textId="0A5301F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…/2025. (</w:t>
      </w:r>
      <w:r w:rsidR="008C5D71" w:rsidRPr="00C5031E">
        <w:rPr>
          <w:rFonts w:ascii="Times New Roman" w:hAnsi="Times New Roman" w:cs="Times New Roman"/>
          <w:b/>
          <w:bCs/>
          <w:sz w:val="24"/>
          <w:szCs w:val="24"/>
        </w:rPr>
        <w:t>IX</w:t>
      </w:r>
      <w:r w:rsidRPr="00C5031E">
        <w:rPr>
          <w:rFonts w:ascii="Times New Roman" w:hAnsi="Times New Roman" w:cs="Times New Roman"/>
          <w:b/>
          <w:bCs/>
          <w:sz w:val="24"/>
          <w:szCs w:val="24"/>
        </w:rPr>
        <w:t>.25.) Kt. számú</w:t>
      </w:r>
    </w:p>
    <w:p w14:paraId="3F678E18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14:paraId="02C2FF6C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CD7767" w14:textId="77777777" w:rsidR="00AD11D4" w:rsidRPr="00C5031E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a lejárt </w:t>
      </w:r>
      <w:proofErr w:type="spellStart"/>
      <w:r w:rsidRPr="00C5031E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C5031E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  </w:t>
      </w:r>
    </w:p>
    <w:p w14:paraId="1E6A617F" w14:textId="77777777" w:rsidR="00AD11D4" w:rsidRPr="00C5031E" w:rsidRDefault="00AD11D4" w:rsidP="00AD11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AFCA8" w14:textId="77777777" w:rsidR="00AD11D4" w:rsidRPr="00C5031E" w:rsidRDefault="00AD11D4" w:rsidP="00AD11D4">
      <w:pPr>
        <w:pStyle w:val="Szvegtrzs2"/>
        <w:rPr>
          <w:rFonts w:ascii="Times New Roman" w:hAnsi="Times New Roman" w:cs="Times New Roman"/>
          <w:sz w:val="24"/>
          <w:szCs w:val="24"/>
        </w:rPr>
      </w:pPr>
      <w:r w:rsidRPr="00C5031E"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661D3C3D" w14:textId="65666B7C" w:rsidR="009B56FB" w:rsidRPr="00C5031E" w:rsidRDefault="00536C27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bCs/>
          <w:color w:val="EE0000"/>
          <w:sz w:val="24"/>
          <w:szCs w:val="24"/>
          <w:lang w:eastAsia="ar-SA"/>
        </w:rPr>
        <w:br/>
      </w:r>
      <w:r w:rsidR="009B56FB"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180/2024. (VIII. 8.) Kt. számú határozat</w:t>
      </w:r>
    </w:p>
    <w:p w14:paraId="03B71551" w14:textId="25366291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192/2024. (VIII.8.) Kt. számú határozat</w:t>
      </w:r>
    </w:p>
    <w:p w14:paraId="269EA74F" w14:textId="5D8C2B4F" w:rsidR="009B56FB" w:rsidRPr="00C5031E" w:rsidRDefault="009B56FB" w:rsidP="009B56F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193/2024. (VIII.8.) Kt. számú határozat</w:t>
      </w:r>
    </w:p>
    <w:p w14:paraId="04F0487C" w14:textId="32702B72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194/2024. (VIII.8.) Kt. számú határozat</w:t>
      </w:r>
    </w:p>
    <w:p w14:paraId="47100169" w14:textId="143F74EE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195/2024. (VIII.8.) Kt. számú határozat</w:t>
      </w:r>
    </w:p>
    <w:p w14:paraId="43FE43A0" w14:textId="617590FF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196/2024. (VIII.8.) Kt. számú határozat</w:t>
      </w:r>
    </w:p>
    <w:p w14:paraId="3A96F539" w14:textId="76486BDD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197/2024. (VIII.8.) Kt. számú határozat</w:t>
      </w:r>
    </w:p>
    <w:p w14:paraId="702C8DC4" w14:textId="535EE655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237/2024. (IX.13.) Kt. számú határozat</w:t>
      </w:r>
    </w:p>
    <w:p w14:paraId="268DAB58" w14:textId="7AB73E31" w:rsidR="009B56FB" w:rsidRPr="00C5031E" w:rsidRDefault="009B56FB" w:rsidP="009B56F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238/2024. (IX. 13.) Kt. számú határozat</w:t>
      </w:r>
    </w:p>
    <w:p w14:paraId="2AB8958F" w14:textId="62D9CC8B" w:rsidR="009B56FB" w:rsidRPr="00C5031E" w:rsidRDefault="009B56FB" w:rsidP="009B56FB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239/2024. (IX. 13.) Kt. számú határozat</w:t>
      </w:r>
    </w:p>
    <w:p w14:paraId="3628D048" w14:textId="5888DC51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262/2024.(X.8.) Kt. számú határozat</w:t>
      </w:r>
    </w:p>
    <w:p w14:paraId="277E5C1B" w14:textId="1578F7E1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264/2024. (X.8.) Kt. számú határozat</w:t>
      </w:r>
    </w:p>
    <w:p w14:paraId="1394B63D" w14:textId="47114DFB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265/2024. (X.8.) Kt. számú határozata</w:t>
      </w:r>
    </w:p>
    <w:p w14:paraId="47A0B3FA" w14:textId="7DE98200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267/2024. (X.8.) Kt. számú határozata</w:t>
      </w:r>
    </w:p>
    <w:p w14:paraId="718D7035" w14:textId="022D48D1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268/2024. (X.8.) Kt. számú határozata</w:t>
      </w:r>
    </w:p>
    <w:p w14:paraId="02855B72" w14:textId="1E4F357F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270/2024. (X.8.) Kt. számú határozata</w:t>
      </w:r>
    </w:p>
    <w:p w14:paraId="53E8C338" w14:textId="5FC40C20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271/2024. (X.8.) Kt. számú határozata</w:t>
      </w:r>
    </w:p>
    <w:p w14:paraId="2824EE9A" w14:textId="7F1200F0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276/2024. (X.24.) Kt. számú határozata</w:t>
      </w:r>
    </w:p>
    <w:p w14:paraId="5C4235C7" w14:textId="70BAE4CE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279/2024. (X.24.) Kt. számú határozata</w:t>
      </w:r>
    </w:p>
    <w:p w14:paraId="13B7E113" w14:textId="4CE8A926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299/2024. (XI.21.) Kt. számú határozata</w:t>
      </w:r>
    </w:p>
    <w:p w14:paraId="74B68DEF" w14:textId="14ADE974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302/2024. (XI.21.) Kt. számú határozata</w:t>
      </w:r>
    </w:p>
    <w:p w14:paraId="61C7E4A4" w14:textId="6EE1C807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303/2024. (XI. 21.) Kt. számú határozata</w:t>
      </w:r>
    </w:p>
    <w:p w14:paraId="6A7ABEE6" w14:textId="66C399EB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304/2024. (XI. 21.) Kt. számú határozata</w:t>
      </w:r>
    </w:p>
    <w:p w14:paraId="2F26FE37" w14:textId="78F4C36E" w:rsidR="009B56FB" w:rsidRPr="00C5031E" w:rsidRDefault="009B56FB" w:rsidP="00E605C4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319/2024. (XI.21.) Kt. számú határozata</w:t>
      </w:r>
    </w:p>
    <w:p w14:paraId="1F2FDCC7" w14:textId="60FA44DA" w:rsidR="009B56FB" w:rsidRPr="00C5031E" w:rsidRDefault="009B56FB" w:rsidP="00E605C4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320/2024. (XI.21.) Kt. számú határozata</w:t>
      </w:r>
    </w:p>
    <w:p w14:paraId="2D1860AA" w14:textId="7C303CA1" w:rsidR="009B56FB" w:rsidRPr="00C5031E" w:rsidRDefault="009B56FB" w:rsidP="00E605C4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321/2024. (XI.21.) Kt. számú határozata</w:t>
      </w:r>
    </w:p>
    <w:p w14:paraId="3A736B7D" w14:textId="6192D9BB" w:rsidR="009B56FB" w:rsidRPr="00C5031E" w:rsidRDefault="009B56FB" w:rsidP="00E605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331/2024. (XII.13.) Kt. számú határozata</w:t>
      </w:r>
    </w:p>
    <w:p w14:paraId="58FF16A8" w14:textId="59B7D4D7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332/2024. (XII.13.) Kt. számú határozata</w:t>
      </w:r>
    </w:p>
    <w:p w14:paraId="1056A704" w14:textId="7C6D2A3F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39/2025. (II.20.) Kt. számú határozata</w:t>
      </w:r>
    </w:p>
    <w:p w14:paraId="545103F0" w14:textId="02FAB38B" w:rsidR="009B56FB" w:rsidRPr="00C5031E" w:rsidRDefault="009B56FB" w:rsidP="00E605C4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44/2025. (II.20.) Kt. számú határozata</w:t>
      </w:r>
    </w:p>
    <w:p w14:paraId="7FEBAC45" w14:textId="66C68A53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45/2025. (II.20.) Kt. számú határozata</w:t>
      </w:r>
    </w:p>
    <w:p w14:paraId="7EF3801A" w14:textId="69B58026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59/2025. (II. 20.) Kt. számú határozata</w:t>
      </w:r>
    </w:p>
    <w:p w14:paraId="06CDFAFC" w14:textId="73021528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60/2025. (II. 20.) Kt. számú határozata</w:t>
      </w:r>
    </w:p>
    <w:p w14:paraId="3D9D8636" w14:textId="31F29A31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63/2025. (II.20.) Kt. számú határozata</w:t>
      </w:r>
    </w:p>
    <w:p w14:paraId="3559E686" w14:textId="43120A9D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64/2025. (II.20.) Kt. számú határozata</w:t>
      </w:r>
    </w:p>
    <w:p w14:paraId="06C77A2A" w14:textId="262E0772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99/2025.(III.28.) Kt. számú határozata</w:t>
      </w:r>
    </w:p>
    <w:p w14:paraId="6CE87E9B" w14:textId="4EE07528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110/2025.(IV.23.) Kt. számú határozata</w:t>
      </w:r>
    </w:p>
    <w:p w14:paraId="2E4DF3A0" w14:textId="77777777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137/2025. (V.22.) Kt. számú határozata</w:t>
      </w:r>
    </w:p>
    <w:p w14:paraId="20E46568" w14:textId="77777777" w:rsidR="009B56FB" w:rsidRPr="00C5031E" w:rsidRDefault="009B56FB" w:rsidP="009B56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E7559AC" w14:textId="13FB6A15" w:rsidR="009B56FB" w:rsidRPr="00C5031E" w:rsidRDefault="009B56FB" w:rsidP="00E605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160/2025. (V.27.) Kt. számú határozata</w:t>
      </w:r>
    </w:p>
    <w:p w14:paraId="5A63769E" w14:textId="2F216658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173/2025. (VI. 25.) Kt. számú határozata</w:t>
      </w:r>
    </w:p>
    <w:p w14:paraId="47BE1E6C" w14:textId="2F601915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174/2025. (VI.25.) Kt. számú határozata</w:t>
      </w:r>
    </w:p>
    <w:p w14:paraId="5F942F06" w14:textId="14AF0FAD" w:rsidR="009B56FB" w:rsidRPr="00C5031E" w:rsidRDefault="009B56FB" w:rsidP="00E60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188/2025. (VI.25.) Kt. számú határozata</w:t>
      </w:r>
    </w:p>
    <w:p w14:paraId="528E11F0" w14:textId="1AF9198C" w:rsidR="009B56FB" w:rsidRPr="00C5031E" w:rsidRDefault="009B56FB" w:rsidP="00E605C4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195/2025. (VII.31.) Kt. számú határozata</w:t>
      </w:r>
    </w:p>
    <w:p w14:paraId="2F53122F" w14:textId="77777777" w:rsidR="009B56FB" w:rsidRPr="00C5031E" w:rsidRDefault="009B56FB" w:rsidP="009B56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03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212/2025. (VII.31.) Kt. számú határozata</w:t>
      </w:r>
    </w:p>
    <w:p w14:paraId="71DA96EF" w14:textId="77777777" w:rsidR="002E0B5C" w:rsidRPr="002E0B5C" w:rsidRDefault="002E0B5C" w:rsidP="002E0B5C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0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154/2025. (V.22.) Kt. számú határozat</w:t>
      </w:r>
    </w:p>
    <w:p w14:paraId="679B5A5E" w14:textId="77777777" w:rsidR="002E0B5C" w:rsidRPr="002E0B5C" w:rsidRDefault="002E0B5C" w:rsidP="002E0B5C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0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155/2025. (V.22.) Kt. számú határozat</w:t>
      </w:r>
    </w:p>
    <w:p w14:paraId="1C50F7BD" w14:textId="7B5854F3" w:rsidR="002E0B5C" w:rsidRPr="002E0B5C" w:rsidRDefault="002E0B5C" w:rsidP="002E0B5C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0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175/2025. (VI.25.) Kt. számú határozat</w:t>
      </w:r>
    </w:p>
    <w:p w14:paraId="6BAAD648" w14:textId="06BFF706" w:rsidR="002E0B5C" w:rsidRPr="002E0B5C" w:rsidRDefault="002E0B5C" w:rsidP="002E0B5C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0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176/2025. (VI.25.) Kt. számú határozat</w:t>
      </w:r>
    </w:p>
    <w:p w14:paraId="13EB6718" w14:textId="77777777" w:rsidR="002E0B5C" w:rsidRPr="002E0B5C" w:rsidRDefault="002E0B5C" w:rsidP="002E0B5C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0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185/2025. (VI.25.) Kt. számú határozat</w:t>
      </w:r>
    </w:p>
    <w:p w14:paraId="23F5C187" w14:textId="77777777" w:rsidR="002E0B5C" w:rsidRPr="002E0B5C" w:rsidRDefault="002E0B5C" w:rsidP="002E0B5C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0B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206/2025. (VII.31.) Kt. számú határozat</w:t>
      </w:r>
    </w:p>
    <w:p w14:paraId="60740344" w14:textId="4F773C2C" w:rsidR="00AD11D4" w:rsidRPr="002E0B5C" w:rsidRDefault="00AD11D4" w:rsidP="002E0B5C">
      <w:pPr>
        <w:pStyle w:val="Szvegtrzs2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9C982A" w14:textId="77777777" w:rsidR="00AD11D4" w:rsidRPr="009B56FB" w:rsidRDefault="00AD11D4" w:rsidP="00B819BC">
      <w:pPr>
        <w:pStyle w:val="Szvegtrzs2"/>
        <w:spacing w:after="0" w:line="240" w:lineRule="auto"/>
        <w:rPr>
          <w:rFonts w:ascii="Times New Roman" w:eastAsia="Times New Roman" w:hAnsi="Times New Roman" w:cs="Times New Roman"/>
          <w:b/>
          <w:color w:val="EE0000"/>
          <w:sz w:val="24"/>
          <w:szCs w:val="24"/>
          <w:lang w:eastAsia="ar-SA"/>
        </w:rPr>
      </w:pPr>
    </w:p>
    <w:p w14:paraId="1D862C52" w14:textId="77777777" w:rsidR="00AD11D4" w:rsidRPr="009B56FB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6FB"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4C91B565" w14:textId="77777777" w:rsidR="00AD11D4" w:rsidRPr="00C5031E" w:rsidRDefault="00AD11D4">
      <w:pPr>
        <w:rPr>
          <w:rFonts w:ascii="Times New Roman" w:hAnsi="Times New Roman" w:cs="Times New Roman"/>
          <w:color w:val="EE0000"/>
          <w:sz w:val="24"/>
          <w:szCs w:val="24"/>
        </w:rPr>
      </w:pPr>
    </w:p>
    <w:sectPr w:rsidR="00AD11D4" w:rsidRPr="00C50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D4"/>
    <w:rsid w:val="00043F2A"/>
    <w:rsid w:val="00097AD8"/>
    <w:rsid w:val="000E5FED"/>
    <w:rsid w:val="0010491D"/>
    <w:rsid w:val="001308C6"/>
    <w:rsid w:val="00180812"/>
    <w:rsid w:val="001C1A11"/>
    <w:rsid w:val="001E2E82"/>
    <w:rsid w:val="002253F0"/>
    <w:rsid w:val="00285F2B"/>
    <w:rsid w:val="002963AA"/>
    <w:rsid w:val="00297186"/>
    <w:rsid w:val="002A05AE"/>
    <w:rsid w:val="002E0B5C"/>
    <w:rsid w:val="002E10C4"/>
    <w:rsid w:val="00314964"/>
    <w:rsid w:val="00326D9C"/>
    <w:rsid w:val="0032795E"/>
    <w:rsid w:val="00333E3B"/>
    <w:rsid w:val="00371087"/>
    <w:rsid w:val="003E779E"/>
    <w:rsid w:val="004166E7"/>
    <w:rsid w:val="00447925"/>
    <w:rsid w:val="00516E58"/>
    <w:rsid w:val="00524320"/>
    <w:rsid w:val="00536C27"/>
    <w:rsid w:val="00553EA6"/>
    <w:rsid w:val="005D3B90"/>
    <w:rsid w:val="005E007A"/>
    <w:rsid w:val="005E79C6"/>
    <w:rsid w:val="0069044A"/>
    <w:rsid w:val="00695419"/>
    <w:rsid w:val="006B44C1"/>
    <w:rsid w:val="006C44F8"/>
    <w:rsid w:val="007B79A2"/>
    <w:rsid w:val="007D64A0"/>
    <w:rsid w:val="008012F8"/>
    <w:rsid w:val="00816936"/>
    <w:rsid w:val="008219F3"/>
    <w:rsid w:val="00821B66"/>
    <w:rsid w:val="00854498"/>
    <w:rsid w:val="00874C1C"/>
    <w:rsid w:val="008B12DA"/>
    <w:rsid w:val="008C5D71"/>
    <w:rsid w:val="009B56FB"/>
    <w:rsid w:val="00A45943"/>
    <w:rsid w:val="00A71F46"/>
    <w:rsid w:val="00AC7DA5"/>
    <w:rsid w:val="00AD11D4"/>
    <w:rsid w:val="00B07223"/>
    <w:rsid w:val="00B819BC"/>
    <w:rsid w:val="00B8239E"/>
    <w:rsid w:val="00B93487"/>
    <w:rsid w:val="00BF4CB0"/>
    <w:rsid w:val="00C5031E"/>
    <w:rsid w:val="00C70605"/>
    <w:rsid w:val="00C96F5A"/>
    <w:rsid w:val="00CD619E"/>
    <w:rsid w:val="00D2795A"/>
    <w:rsid w:val="00DC0B63"/>
    <w:rsid w:val="00E07EF1"/>
    <w:rsid w:val="00E22159"/>
    <w:rsid w:val="00E23BA2"/>
    <w:rsid w:val="00E364AF"/>
    <w:rsid w:val="00E45049"/>
    <w:rsid w:val="00E605C4"/>
    <w:rsid w:val="00E96D14"/>
    <w:rsid w:val="00EE50F2"/>
    <w:rsid w:val="00F2361E"/>
    <w:rsid w:val="00F30C17"/>
    <w:rsid w:val="00F54FE1"/>
    <w:rsid w:val="00F8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4B964"/>
  <w15:chartTrackingRefBased/>
  <w15:docId w15:val="{AEC9CAA7-5A3E-49F8-AC13-11EB80F7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11D4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AD11D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D11D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D11D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D11D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D11D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D11D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D11D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D11D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D11D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D11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D11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D11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D11D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D11D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D11D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D11D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D11D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D11D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D11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D11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D11D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D11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D11D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D11D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D11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D11D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D11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D11D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D11D4"/>
    <w:rPr>
      <w:b/>
      <w:bCs/>
      <w:smallCaps/>
      <w:color w:val="2F5496" w:themeColor="accent1" w:themeShade="BF"/>
      <w:spacing w:val="5"/>
    </w:rPr>
  </w:style>
  <w:style w:type="paragraph" w:styleId="Lista">
    <w:name w:val="List"/>
    <w:basedOn w:val="Norml"/>
    <w:uiPriority w:val="99"/>
    <w:semiHidden/>
    <w:unhideWhenUsed/>
    <w:rsid w:val="00AD11D4"/>
  </w:style>
  <w:style w:type="paragraph" w:styleId="Szvegtrzs2">
    <w:name w:val="Body Text 2"/>
    <w:basedOn w:val="Norml"/>
    <w:link w:val="Szvegtrzs2Char"/>
    <w:uiPriority w:val="99"/>
    <w:unhideWhenUsed/>
    <w:rsid w:val="00AD11D4"/>
  </w:style>
  <w:style w:type="character" w:customStyle="1" w:styleId="Szvegtrzs2Char">
    <w:name w:val="Szövegtörzs 2 Char"/>
    <w:basedOn w:val="Bekezdsalapbettpusa"/>
    <w:link w:val="Szvegtrzs2"/>
    <w:uiPriority w:val="99"/>
    <w:rsid w:val="00AD11D4"/>
    <w:rPr>
      <w:rFonts w:ascii="Calibri" w:eastAsia="Calibri" w:hAnsi="Calibri" w:cs="Calibri"/>
      <w:kern w:val="0"/>
      <w14:ligatures w14:val="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C5031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5031E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29F-EBD7-423F-BAA2-35A29D89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9</Pages>
  <Words>2266</Words>
  <Characters>15640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 Tiszavasvari</dc:creator>
  <cp:keywords/>
  <dc:description/>
  <cp:lastModifiedBy>PH Tiszavasvari</cp:lastModifiedBy>
  <cp:revision>106</cp:revision>
  <cp:lastPrinted>2025-09-19T05:42:00Z</cp:lastPrinted>
  <dcterms:created xsi:type="dcterms:W3CDTF">2025-06-16T09:52:00Z</dcterms:created>
  <dcterms:modified xsi:type="dcterms:W3CDTF">2025-09-19T06:25:00Z</dcterms:modified>
</cp:coreProperties>
</file>